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C6" w:rsidRPr="00DD24C6" w:rsidRDefault="00DD24C6" w:rsidP="00DD24C6">
      <w:pPr>
        <w:spacing w:after="0" w:line="240" w:lineRule="auto"/>
        <w:rPr>
          <w:color w:val="FF0000"/>
          <w:sz w:val="28"/>
          <w:szCs w:val="28"/>
        </w:rPr>
      </w:pPr>
      <w:r w:rsidRPr="00DD24C6">
        <w:rPr>
          <w:color w:val="FF0000"/>
          <w:sz w:val="28"/>
          <w:szCs w:val="28"/>
        </w:rPr>
        <w:t>Appendix D</w:t>
      </w:r>
    </w:p>
    <w:p w:rsidR="00DD24C6" w:rsidRDefault="00FB23D6" w:rsidP="00DD24C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April 25, 2013</w:t>
      </w:r>
    </w:p>
    <w:p w:rsidR="00DD24C6" w:rsidRPr="004E2122" w:rsidRDefault="00DD24C6" w:rsidP="00DD24C6">
      <w:pPr>
        <w:spacing w:after="0" w:line="240" w:lineRule="auto"/>
        <w:jc w:val="right"/>
        <w:rPr>
          <w:sz w:val="20"/>
          <w:szCs w:val="20"/>
        </w:rPr>
      </w:pPr>
    </w:p>
    <w:p w:rsidR="00B872A5" w:rsidRDefault="00DC7278" w:rsidP="00120629">
      <w:pPr>
        <w:spacing w:after="0" w:line="240" w:lineRule="auto"/>
        <w:rPr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√</w:t>
      </w:r>
      <w:r w:rsidR="00120629" w:rsidRPr="00444A2A">
        <w:rPr>
          <w:sz w:val="28"/>
          <w:szCs w:val="28"/>
          <w:u w:val="single"/>
        </w:rPr>
        <w:t xml:space="preserve">CHECKLIST for submitting cases of reappointment, tenure, </w:t>
      </w:r>
      <w:r w:rsidR="004E2122" w:rsidRPr="00444A2A">
        <w:rPr>
          <w:sz w:val="28"/>
          <w:szCs w:val="28"/>
          <w:u w:val="single"/>
        </w:rPr>
        <w:t xml:space="preserve">and </w:t>
      </w:r>
      <w:r w:rsidR="00120629" w:rsidRPr="00444A2A">
        <w:rPr>
          <w:sz w:val="28"/>
          <w:szCs w:val="28"/>
          <w:u w:val="single"/>
        </w:rPr>
        <w:t>promotion</w:t>
      </w:r>
      <w:r w:rsidR="004E2122">
        <w:rPr>
          <w:sz w:val="28"/>
          <w:szCs w:val="28"/>
        </w:rPr>
        <w:t>:</w:t>
      </w:r>
    </w:p>
    <w:p w:rsidR="00120629" w:rsidRDefault="00120629" w:rsidP="00120629">
      <w:pPr>
        <w:spacing w:after="0" w:line="240" w:lineRule="auto"/>
        <w:rPr>
          <w:sz w:val="28"/>
          <w:szCs w:val="28"/>
        </w:rPr>
      </w:pPr>
    </w:p>
    <w:p w:rsidR="0023768F" w:rsidRPr="0023768F" w:rsidRDefault="0023768F" w:rsidP="0023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68F">
        <w:rPr>
          <w:rFonts w:ascii="Times New Roman" w:eastAsia="Times New Roman" w:hAnsi="Times New Roman" w:cs="Times New Roman"/>
          <w:sz w:val="24"/>
          <w:szCs w:val="24"/>
        </w:rPr>
        <w:t xml:space="preserve">Please note that this list does not cover all items in the various guidelines and policies but only those that seem </w:t>
      </w:r>
      <w:r w:rsidR="000116F3"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 w:rsidRPr="0023768F">
        <w:rPr>
          <w:rFonts w:ascii="Times New Roman" w:eastAsia="Times New Roman" w:hAnsi="Times New Roman" w:cs="Times New Roman"/>
          <w:sz w:val="24"/>
          <w:szCs w:val="24"/>
        </w:rPr>
        <w:t>more easily overlooked when cases are written up.</w:t>
      </w:r>
    </w:p>
    <w:p w:rsidR="00DC50AA" w:rsidRDefault="00DC50AA" w:rsidP="00DC50AA">
      <w:pPr>
        <w:ind w:left="720"/>
        <w:rPr>
          <w:sz w:val="28"/>
          <w:szCs w:val="28"/>
        </w:rPr>
      </w:pPr>
    </w:p>
    <w:p w:rsidR="00DC50AA" w:rsidRPr="00DC50AA" w:rsidRDefault="00FB23D6" w:rsidP="00DC50AA">
      <w:pPr>
        <w:spacing w:after="0" w:line="240" w:lineRule="auto"/>
        <w:rPr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</w:r>
      <w:r w:rsidR="00DC50AA">
        <w:rPr>
          <w:sz w:val="24"/>
          <w:szCs w:val="24"/>
        </w:rPr>
        <w:t>Are</w:t>
      </w:r>
      <w:r w:rsidR="00DC50AA" w:rsidRPr="00DC50AA">
        <w:rPr>
          <w:sz w:val="24"/>
          <w:szCs w:val="24"/>
        </w:rPr>
        <w:t xml:space="preserve"> the pages in the case statement (all of Tab 1)</w:t>
      </w:r>
      <w:r w:rsidR="00DC50AA">
        <w:rPr>
          <w:sz w:val="24"/>
          <w:szCs w:val="24"/>
        </w:rPr>
        <w:t xml:space="preserve"> numbered, and is </w:t>
      </w:r>
      <w:r w:rsidR="00DC50AA" w:rsidRPr="00DC50AA">
        <w:rPr>
          <w:sz w:val="24"/>
          <w:szCs w:val="24"/>
        </w:rPr>
        <w:t xml:space="preserve">12 point type </w:t>
      </w:r>
      <w:r w:rsidR="00DC50AA">
        <w:rPr>
          <w:sz w:val="24"/>
          <w:szCs w:val="24"/>
        </w:rPr>
        <w:t xml:space="preserve">used </w:t>
      </w:r>
      <w:r w:rsidR="00DC50AA">
        <w:rPr>
          <w:sz w:val="24"/>
          <w:szCs w:val="24"/>
        </w:rPr>
        <w:tab/>
        <w:t>for</w:t>
      </w:r>
      <w:r w:rsidR="00DC50AA" w:rsidRPr="00DC50AA">
        <w:rPr>
          <w:sz w:val="24"/>
          <w:szCs w:val="24"/>
        </w:rPr>
        <w:t xml:space="preserve"> all printed materials</w:t>
      </w:r>
      <w:r w:rsidR="00DC50AA">
        <w:rPr>
          <w:sz w:val="24"/>
          <w:szCs w:val="24"/>
        </w:rPr>
        <w:t>?</w:t>
      </w:r>
    </w:p>
    <w:p w:rsidR="00FB23D6" w:rsidRDefault="00FB23D6" w:rsidP="008F5069">
      <w:pPr>
        <w:spacing w:after="0" w:line="240" w:lineRule="auto"/>
        <w:rPr>
          <w:rFonts w:cstheme="minorHAnsi"/>
          <w:sz w:val="24"/>
          <w:szCs w:val="24"/>
        </w:rPr>
      </w:pPr>
    </w:p>
    <w:p w:rsidR="00FB23D6" w:rsidRPr="00E73C86" w:rsidRDefault="008F5069" w:rsidP="008F5069">
      <w:pPr>
        <w:spacing w:after="0" w:line="240" w:lineRule="auto"/>
        <w:rPr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sz w:val="24"/>
          <w:szCs w:val="24"/>
        </w:rPr>
        <w:tab/>
        <w:t>Does the case contain a description of</w:t>
      </w:r>
      <w:r w:rsidR="00E73C86">
        <w:rPr>
          <w:sz w:val="24"/>
          <w:szCs w:val="24"/>
        </w:rPr>
        <w:t xml:space="preserve"> the process through which the </w:t>
      </w:r>
      <w:r w:rsidRPr="00E73C86">
        <w:rPr>
          <w:sz w:val="24"/>
          <w:szCs w:val="24"/>
        </w:rPr>
        <w:t xml:space="preserve">departmental </w:t>
      </w:r>
      <w:r w:rsidR="00E73C86">
        <w:rPr>
          <w:sz w:val="24"/>
          <w:szCs w:val="24"/>
        </w:rPr>
        <w:tab/>
      </w:r>
      <w:r w:rsidRPr="00E73C86">
        <w:rPr>
          <w:sz w:val="24"/>
          <w:szCs w:val="24"/>
        </w:rPr>
        <w:t>recommendation was reached?</w:t>
      </w:r>
    </w:p>
    <w:p w:rsidR="000116F3" w:rsidRPr="00E73C86" w:rsidRDefault="000116F3" w:rsidP="000116F3">
      <w:pPr>
        <w:spacing w:after="0" w:line="240" w:lineRule="auto"/>
        <w:ind w:left="720"/>
        <w:rPr>
          <w:sz w:val="24"/>
          <w:szCs w:val="24"/>
        </w:rPr>
      </w:pPr>
    </w:p>
    <w:p w:rsidR="000116F3" w:rsidRPr="00E73C86" w:rsidRDefault="00523E06" w:rsidP="000116F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□</w:t>
      </w:r>
      <w:r>
        <w:rPr>
          <w:rFonts w:eastAsia="Times New Roman" w:cstheme="minorHAnsi"/>
          <w:sz w:val="24"/>
          <w:szCs w:val="24"/>
        </w:rPr>
        <w:tab/>
      </w:r>
      <w:proofErr w:type="gramStart"/>
      <w:r>
        <w:rPr>
          <w:rFonts w:eastAsia="Times New Roman" w:cstheme="minorHAnsi"/>
          <w:sz w:val="24"/>
          <w:szCs w:val="24"/>
        </w:rPr>
        <w:t>Does</w:t>
      </w:r>
      <w:proofErr w:type="gramEnd"/>
      <w:r>
        <w:rPr>
          <w:rFonts w:eastAsia="Times New Roman" w:cstheme="minorHAnsi"/>
          <w:sz w:val="24"/>
          <w:szCs w:val="24"/>
        </w:rPr>
        <w:t xml:space="preserve"> the case report the vote of the department personnel committee</w:t>
      </w:r>
      <w:r w:rsidR="000116F3" w:rsidRPr="00E73C86">
        <w:rPr>
          <w:rFonts w:eastAsia="Times New Roman" w:cstheme="minorHAnsi"/>
          <w:sz w:val="24"/>
          <w:szCs w:val="24"/>
        </w:rPr>
        <w:t xml:space="preserve">? If </w:t>
      </w:r>
      <w:r>
        <w:rPr>
          <w:rFonts w:eastAsia="Times New Roman" w:cstheme="minorHAnsi"/>
          <w:sz w:val="24"/>
          <w:szCs w:val="24"/>
        </w:rPr>
        <w:t xml:space="preserve">the vote was </w:t>
      </w:r>
      <w:r>
        <w:rPr>
          <w:rFonts w:eastAsia="Times New Roman" w:cstheme="minorHAnsi"/>
          <w:sz w:val="24"/>
          <w:szCs w:val="24"/>
        </w:rPr>
        <w:tab/>
      </w:r>
      <w:r w:rsidR="000116F3" w:rsidRPr="00E73C86">
        <w:rPr>
          <w:rFonts w:eastAsia="Times New Roman" w:cstheme="minorHAnsi"/>
          <w:sz w:val="24"/>
          <w:szCs w:val="24"/>
        </w:rPr>
        <w:t>not</w:t>
      </w:r>
      <w:r>
        <w:rPr>
          <w:rFonts w:eastAsia="Times New Roman" w:cstheme="minorHAnsi"/>
          <w:sz w:val="24"/>
          <w:szCs w:val="24"/>
        </w:rPr>
        <w:t xml:space="preserve"> unanimous</w:t>
      </w:r>
      <w:r w:rsidR="000116F3" w:rsidRPr="00E73C86">
        <w:rPr>
          <w:rFonts w:eastAsia="Times New Roman" w:cstheme="minorHAnsi"/>
          <w:sz w:val="24"/>
          <w:szCs w:val="24"/>
        </w:rPr>
        <w:t xml:space="preserve">, was there an opportunity for minority reports? If your department’s </w:t>
      </w:r>
      <w:r>
        <w:rPr>
          <w:rFonts w:eastAsia="Times New Roman" w:cstheme="minorHAnsi"/>
          <w:sz w:val="24"/>
          <w:szCs w:val="24"/>
        </w:rPr>
        <w:tab/>
      </w:r>
      <w:r w:rsidR="000116F3" w:rsidRPr="00E73C86">
        <w:rPr>
          <w:rFonts w:eastAsia="Times New Roman" w:cstheme="minorHAnsi"/>
          <w:sz w:val="24"/>
          <w:szCs w:val="24"/>
        </w:rPr>
        <w:t>gu</w:t>
      </w:r>
      <w:r>
        <w:rPr>
          <w:rFonts w:eastAsia="Times New Roman" w:cstheme="minorHAnsi"/>
          <w:sz w:val="24"/>
          <w:szCs w:val="24"/>
        </w:rPr>
        <w:t xml:space="preserve">idelines </w:t>
      </w:r>
      <w:r w:rsidR="000116F3" w:rsidRPr="00E73C86">
        <w:rPr>
          <w:rFonts w:eastAsia="Times New Roman" w:cstheme="minorHAnsi"/>
          <w:sz w:val="24"/>
          <w:szCs w:val="24"/>
        </w:rPr>
        <w:t>specifically call for a minority opinion, is it included in the case?</w:t>
      </w:r>
    </w:p>
    <w:p w:rsidR="000116F3" w:rsidRDefault="000116F3" w:rsidP="00120629">
      <w:pPr>
        <w:spacing w:after="0" w:line="240" w:lineRule="auto"/>
        <w:rPr>
          <w:sz w:val="24"/>
          <w:szCs w:val="24"/>
        </w:rPr>
      </w:pPr>
    </w:p>
    <w:p w:rsidR="00F57A3D" w:rsidRPr="00E73C86" w:rsidRDefault="00F57A3D" w:rsidP="00F57A3D">
      <w:pPr>
        <w:spacing w:after="0" w:line="240" w:lineRule="auto"/>
        <w:rPr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sz w:val="24"/>
          <w:szCs w:val="24"/>
        </w:rPr>
        <w:tab/>
        <w:t>Does (B) or (NB) follow every quote from a reviewer cited in the case narrative</w:t>
      </w:r>
      <w:r w:rsidR="00DD24C6">
        <w:rPr>
          <w:sz w:val="24"/>
          <w:szCs w:val="24"/>
        </w:rPr>
        <w:t xml:space="preserve"> </w:t>
      </w:r>
      <w:r w:rsidR="00DD24C6" w:rsidRPr="008140ED">
        <w:rPr>
          <w:b/>
          <w:sz w:val="24"/>
          <w:szCs w:val="24"/>
        </w:rPr>
        <w:t xml:space="preserve">and </w:t>
      </w:r>
      <w:r w:rsidR="00DD24C6">
        <w:rPr>
          <w:sz w:val="24"/>
          <w:szCs w:val="24"/>
        </w:rPr>
        <w:tab/>
        <w:t>every appearance of a reviewer’s name</w:t>
      </w:r>
      <w:r w:rsidRPr="00E73C86">
        <w:rPr>
          <w:sz w:val="24"/>
          <w:szCs w:val="24"/>
        </w:rPr>
        <w:t>?</w:t>
      </w:r>
    </w:p>
    <w:p w:rsidR="00F57A3D" w:rsidRPr="00E73C86" w:rsidRDefault="00F57A3D" w:rsidP="00120629">
      <w:pPr>
        <w:spacing w:after="0" w:line="240" w:lineRule="auto"/>
        <w:rPr>
          <w:sz w:val="24"/>
          <w:szCs w:val="24"/>
        </w:rPr>
      </w:pPr>
    </w:p>
    <w:p w:rsidR="0009502E" w:rsidRPr="00E73C86" w:rsidRDefault="008F5069" w:rsidP="00120629">
      <w:pPr>
        <w:spacing w:after="0" w:line="240" w:lineRule="auto"/>
        <w:rPr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sz w:val="24"/>
          <w:szCs w:val="24"/>
        </w:rPr>
        <w:tab/>
      </w:r>
      <w:r w:rsidR="00827088" w:rsidRPr="00E73C86">
        <w:rPr>
          <w:sz w:val="24"/>
          <w:szCs w:val="24"/>
        </w:rPr>
        <w:t xml:space="preserve">Does the case indicate that </w:t>
      </w:r>
      <w:r w:rsidR="0009502E" w:rsidRPr="00E73C86">
        <w:rPr>
          <w:sz w:val="24"/>
          <w:szCs w:val="24"/>
        </w:rPr>
        <w:t xml:space="preserve">the candidate </w:t>
      </w:r>
      <w:r w:rsidR="00827088" w:rsidRPr="00E73C86">
        <w:rPr>
          <w:sz w:val="24"/>
          <w:szCs w:val="24"/>
        </w:rPr>
        <w:t>was shown a redacted version</w:t>
      </w:r>
      <w:r w:rsidR="008140ED">
        <w:rPr>
          <w:sz w:val="24"/>
          <w:szCs w:val="24"/>
        </w:rPr>
        <w:t xml:space="preserve"> of the case</w:t>
      </w:r>
      <w:r w:rsidR="00827088" w:rsidRPr="00E73C86">
        <w:rPr>
          <w:sz w:val="24"/>
          <w:szCs w:val="24"/>
        </w:rPr>
        <w:t>?</w:t>
      </w:r>
    </w:p>
    <w:p w:rsidR="00940FA7" w:rsidRPr="00E73C86" w:rsidRDefault="00940FA7" w:rsidP="00120629">
      <w:pPr>
        <w:spacing w:after="0" w:line="240" w:lineRule="auto"/>
        <w:rPr>
          <w:sz w:val="24"/>
          <w:szCs w:val="24"/>
        </w:rPr>
      </w:pPr>
    </w:p>
    <w:p w:rsidR="00940FA7" w:rsidRDefault="008F5069" w:rsidP="00120629">
      <w:pPr>
        <w:spacing w:after="0" w:line="240" w:lineRule="auto"/>
        <w:rPr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sz w:val="24"/>
          <w:szCs w:val="24"/>
        </w:rPr>
        <w:tab/>
      </w:r>
      <w:proofErr w:type="gramStart"/>
      <w:r w:rsidR="00940FA7" w:rsidRPr="00E73C86">
        <w:rPr>
          <w:sz w:val="24"/>
          <w:szCs w:val="24"/>
        </w:rPr>
        <w:t>Has</w:t>
      </w:r>
      <w:proofErr w:type="gramEnd"/>
      <w:r w:rsidR="00940FA7" w:rsidRPr="00E73C86">
        <w:rPr>
          <w:sz w:val="24"/>
          <w:szCs w:val="24"/>
        </w:rPr>
        <w:t xml:space="preserve"> the candidate received a copy of the department’s guidelines?</w:t>
      </w:r>
    </w:p>
    <w:p w:rsidR="00271E02" w:rsidRDefault="00271E02" w:rsidP="00120629">
      <w:pPr>
        <w:spacing w:after="0" w:line="240" w:lineRule="auto"/>
        <w:rPr>
          <w:sz w:val="24"/>
          <w:szCs w:val="24"/>
        </w:rPr>
      </w:pPr>
    </w:p>
    <w:p w:rsidR="00271E02" w:rsidRDefault="00271E02" w:rsidP="00120629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ab/>
        <w:t xml:space="preserve">Have you reviewed your department guidelines to make sure they have been followed </w:t>
      </w:r>
      <w:r>
        <w:rPr>
          <w:sz w:val="24"/>
          <w:szCs w:val="24"/>
        </w:rPr>
        <w:tab/>
        <w:t>and that they conform to COP Guidelines and the Faculty Handbook?</w:t>
      </w:r>
    </w:p>
    <w:p w:rsidR="009A462E" w:rsidRDefault="009A462E" w:rsidP="00120629">
      <w:pPr>
        <w:spacing w:after="0" w:line="240" w:lineRule="auto"/>
        <w:rPr>
          <w:sz w:val="24"/>
          <w:szCs w:val="24"/>
        </w:rPr>
      </w:pPr>
    </w:p>
    <w:p w:rsidR="009A462E" w:rsidRPr="00E73C86" w:rsidRDefault="009A462E" w:rsidP="00120629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ab/>
        <w:t>Does the letter to outside reviewers include a list of the items sent to them (as an</w:t>
      </w:r>
      <w:r>
        <w:rPr>
          <w:sz w:val="24"/>
          <w:szCs w:val="24"/>
        </w:rPr>
        <w:tab/>
        <w:t xml:space="preserve">“Enclosure” at the bottom of the letter), so that COP can see what </w:t>
      </w:r>
      <w:r w:rsidR="00271E02">
        <w:rPr>
          <w:sz w:val="24"/>
          <w:szCs w:val="24"/>
        </w:rPr>
        <w:t xml:space="preserve">was </w:t>
      </w:r>
      <w:r>
        <w:rPr>
          <w:sz w:val="24"/>
          <w:szCs w:val="24"/>
        </w:rPr>
        <w:t>sent?</w:t>
      </w:r>
    </w:p>
    <w:p w:rsidR="008F5069" w:rsidRPr="00E73C86" w:rsidRDefault="008F5069" w:rsidP="00120629">
      <w:pPr>
        <w:spacing w:after="0" w:line="240" w:lineRule="auto"/>
        <w:rPr>
          <w:sz w:val="24"/>
          <w:szCs w:val="24"/>
        </w:rPr>
      </w:pPr>
    </w:p>
    <w:p w:rsidR="008F5069" w:rsidRPr="00E73C86" w:rsidRDefault="008F5069" w:rsidP="00120629">
      <w:pPr>
        <w:spacing w:after="0" w:line="240" w:lineRule="auto"/>
        <w:rPr>
          <w:rFonts w:cstheme="minorHAnsi"/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sz w:val="24"/>
          <w:szCs w:val="24"/>
        </w:rPr>
        <w:tab/>
      </w:r>
      <w:proofErr w:type="gramStart"/>
      <w:r w:rsidRPr="00E73C86">
        <w:rPr>
          <w:rFonts w:cstheme="minorHAnsi"/>
          <w:sz w:val="24"/>
          <w:szCs w:val="24"/>
        </w:rPr>
        <w:t>Has</w:t>
      </w:r>
      <w:proofErr w:type="gramEnd"/>
      <w:r w:rsidRPr="00E73C86">
        <w:rPr>
          <w:rFonts w:cstheme="minorHAnsi"/>
          <w:sz w:val="24"/>
          <w:szCs w:val="24"/>
        </w:rPr>
        <w:t xml:space="preserve"> the candidate’s CV been reviewed </w:t>
      </w:r>
      <w:r w:rsidR="000A6AD0" w:rsidRPr="00E73C86">
        <w:rPr>
          <w:rFonts w:eastAsia="Times New Roman" w:cstheme="minorHAnsi"/>
          <w:sz w:val="24"/>
          <w:szCs w:val="24"/>
        </w:rPr>
        <w:t xml:space="preserve">for accuracy and appearance? Does it break </w:t>
      </w:r>
      <w:r w:rsidR="00E73C86">
        <w:rPr>
          <w:rFonts w:eastAsia="Times New Roman" w:cstheme="minorHAnsi"/>
          <w:sz w:val="24"/>
          <w:szCs w:val="24"/>
        </w:rPr>
        <w:tab/>
      </w:r>
      <w:r w:rsidR="000A6AD0" w:rsidRPr="00E73C86">
        <w:rPr>
          <w:rFonts w:eastAsia="Times New Roman" w:cstheme="minorHAnsi"/>
          <w:sz w:val="24"/>
          <w:szCs w:val="24"/>
        </w:rPr>
        <w:t>down work into refereed and non-</w:t>
      </w:r>
      <w:r w:rsidR="00523E06">
        <w:rPr>
          <w:rFonts w:eastAsia="Times New Roman" w:cstheme="minorHAnsi"/>
          <w:sz w:val="24"/>
          <w:szCs w:val="24"/>
        </w:rPr>
        <w:t>ref</w:t>
      </w:r>
      <w:r w:rsidR="000A6AD0" w:rsidRPr="00E73C86">
        <w:rPr>
          <w:rFonts w:eastAsia="Times New Roman" w:cstheme="minorHAnsi"/>
          <w:sz w:val="24"/>
          <w:szCs w:val="24"/>
        </w:rPr>
        <w:t>ereed items?</w:t>
      </w:r>
      <w:r w:rsidR="000A6AD0" w:rsidRPr="00E73C86">
        <w:rPr>
          <w:rFonts w:cstheme="minorHAnsi"/>
          <w:sz w:val="24"/>
          <w:szCs w:val="24"/>
        </w:rPr>
        <w:t xml:space="preserve"> Does it include</w:t>
      </w:r>
      <w:r w:rsidRPr="00E73C86">
        <w:rPr>
          <w:rFonts w:cstheme="minorHAnsi"/>
          <w:sz w:val="24"/>
          <w:szCs w:val="24"/>
        </w:rPr>
        <w:t xml:space="preserve"> </w:t>
      </w:r>
      <w:r w:rsidR="00E73C86">
        <w:rPr>
          <w:rFonts w:cstheme="minorHAnsi"/>
          <w:sz w:val="24"/>
          <w:szCs w:val="24"/>
        </w:rPr>
        <w:t xml:space="preserve">article page </w:t>
      </w:r>
      <w:r w:rsidRPr="00E73C86">
        <w:rPr>
          <w:rFonts w:cstheme="minorHAnsi"/>
          <w:sz w:val="24"/>
          <w:szCs w:val="24"/>
        </w:rPr>
        <w:t xml:space="preserve">numbers, </w:t>
      </w:r>
      <w:r w:rsidR="00E73C86">
        <w:rPr>
          <w:rFonts w:cstheme="minorHAnsi"/>
          <w:sz w:val="24"/>
          <w:szCs w:val="24"/>
        </w:rPr>
        <w:tab/>
      </w:r>
      <w:r w:rsidRPr="00E73C86">
        <w:rPr>
          <w:rFonts w:cstheme="minorHAnsi"/>
          <w:sz w:val="24"/>
          <w:szCs w:val="24"/>
        </w:rPr>
        <w:t xml:space="preserve">grant amounts, a full listing of co-authors in </w:t>
      </w:r>
      <w:r w:rsidR="008140ED">
        <w:rPr>
          <w:rFonts w:cstheme="minorHAnsi"/>
          <w:sz w:val="24"/>
          <w:szCs w:val="24"/>
        </w:rPr>
        <w:t xml:space="preserve">an </w:t>
      </w:r>
      <w:r w:rsidRPr="00E73C86">
        <w:rPr>
          <w:rFonts w:cstheme="minorHAnsi"/>
          <w:sz w:val="24"/>
          <w:szCs w:val="24"/>
        </w:rPr>
        <w:t>order</w:t>
      </w:r>
      <w:r w:rsidR="008140ED">
        <w:rPr>
          <w:rFonts w:cstheme="minorHAnsi"/>
          <w:sz w:val="24"/>
          <w:szCs w:val="24"/>
        </w:rPr>
        <w:t xml:space="preserve"> that is appropriate to the discipline </w:t>
      </w:r>
      <w:r w:rsidR="008140ED">
        <w:rPr>
          <w:rFonts w:cstheme="minorHAnsi"/>
          <w:sz w:val="24"/>
          <w:szCs w:val="24"/>
        </w:rPr>
        <w:tab/>
        <w:t>and including an</w:t>
      </w:r>
      <w:r w:rsidRPr="00E73C86">
        <w:rPr>
          <w:rFonts w:cstheme="minorHAnsi"/>
          <w:sz w:val="24"/>
          <w:szCs w:val="24"/>
        </w:rPr>
        <w:t xml:space="preserve"> </w:t>
      </w:r>
      <w:r w:rsidR="00271E02">
        <w:rPr>
          <w:rFonts w:cstheme="minorHAnsi"/>
          <w:sz w:val="24"/>
          <w:szCs w:val="24"/>
        </w:rPr>
        <w:t xml:space="preserve">indication of student co-authors, </w:t>
      </w:r>
      <w:r w:rsidRPr="00E73C86">
        <w:rPr>
          <w:rFonts w:cstheme="minorHAnsi"/>
          <w:sz w:val="24"/>
          <w:szCs w:val="24"/>
        </w:rPr>
        <w:t>et al?</w:t>
      </w:r>
    </w:p>
    <w:p w:rsidR="00E73C86" w:rsidRPr="00E73C86" w:rsidRDefault="00E73C86" w:rsidP="00E73C8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E73C86" w:rsidRDefault="00E73C86" w:rsidP="0012062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rFonts w:cstheme="minorHAnsi"/>
          <w:sz w:val="24"/>
          <w:szCs w:val="24"/>
        </w:rPr>
        <w:tab/>
      </w:r>
      <w:r w:rsidR="00F57A3D">
        <w:rPr>
          <w:rFonts w:eastAsia="Times New Roman" w:cstheme="minorHAnsi"/>
          <w:sz w:val="24"/>
          <w:szCs w:val="24"/>
        </w:rPr>
        <w:t xml:space="preserve">Does the case </w:t>
      </w:r>
      <w:r w:rsidRPr="00E73C86">
        <w:rPr>
          <w:rFonts w:eastAsia="Times New Roman" w:cstheme="minorHAnsi"/>
          <w:sz w:val="24"/>
          <w:szCs w:val="24"/>
        </w:rPr>
        <w:t xml:space="preserve">clarify the contribution of the candidate for each publication (lead </w:t>
      </w:r>
      <w:r w:rsidRPr="00E73C86">
        <w:rPr>
          <w:rFonts w:eastAsia="Times New Roman" w:cstheme="minorHAnsi"/>
          <w:sz w:val="24"/>
          <w:szCs w:val="24"/>
        </w:rPr>
        <w:tab/>
      </w:r>
      <w:r w:rsidR="00F57A3D">
        <w:rPr>
          <w:rFonts w:eastAsia="Times New Roman" w:cstheme="minorHAnsi"/>
          <w:sz w:val="24"/>
          <w:szCs w:val="24"/>
        </w:rPr>
        <w:t xml:space="preserve">author, </w:t>
      </w:r>
      <w:r w:rsidR="00F57A3D">
        <w:rPr>
          <w:rFonts w:eastAsia="Times New Roman" w:cstheme="minorHAnsi"/>
          <w:sz w:val="24"/>
          <w:szCs w:val="24"/>
        </w:rPr>
        <w:tab/>
        <w:t>etc.)</w:t>
      </w:r>
      <w:r w:rsidRPr="00E73C86">
        <w:rPr>
          <w:rFonts w:eastAsia="Times New Roman" w:cstheme="minorHAnsi"/>
          <w:sz w:val="24"/>
          <w:szCs w:val="24"/>
        </w:rPr>
        <w:t xml:space="preserve"> when publications are co-authored?  </w:t>
      </w:r>
    </w:p>
    <w:p w:rsidR="00DB6B21" w:rsidRDefault="00DB6B21" w:rsidP="0012062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57A3D" w:rsidRPr="00E73C86" w:rsidRDefault="00F57A3D" w:rsidP="00F57A3D">
      <w:pPr>
        <w:spacing w:after="0" w:line="240" w:lineRule="auto"/>
        <w:rPr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sz w:val="24"/>
          <w:szCs w:val="24"/>
        </w:rPr>
        <w:tab/>
      </w:r>
      <w:proofErr w:type="gramStart"/>
      <w:r w:rsidRPr="00E73C86">
        <w:rPr>
          <w:sz w:val="24"/>
          <w:szCs w:val="24"/>
        </w:rPr>
        <w:t>Is</w:t>
      </w:r>
      <w:proofErr w:type="gramEnd"/>
      <w:r w:rsidRPr="00E73C86">
        <w:rPr>
          <w:sz w:val="24"/>
          <w:szCs w:val="24"/>
        </w:rPr>
        <w:t xml:space="preserve"> the teaching statement (required for reappointment; optional for tenure or </w:t>
      </w:r>
      <w:r>
        <w:rPr>
          <w:sz w:val="24"/>
          <w:szCs w:val="24"/>
        </w:rPr>
        <w:tab/>
      </w:r>
      <w:r w:rsidRPr="00E73C86">
        <w:rPr>
          <w:sz w:val="24"/>
          <w:szCs w:val="24"/>
        </w:rPr>
        <w:t>promotion</w:t>
      </w:r>
      <w:r w:rsidR="0009287D">
        <w:rPr>
          <w:sz w:val="24"/>
          <w:szCs w:val="24"/>
        </w:rPr>
        <w:t xml:space="preserve"> unless your own department guidelines require it</w:t>
      </w:r>
      <w:r w:rsidRPr="00E73C86">
        <w:rPr>
          <w:sz w:val="24"/>
          <w:szCs w:val="24"/>
        </w:rPr>
        <w:t>) included a</w:t>
      </w:r>
      <w:r>
        <w:rPr>
          <w:sz w:val="24"/>
          <w:szCs w:val="24"/>
        </w:rPr>
        <w:t xml:space="preserve">nd positioned </w:t>
      </w:r>
      <w:r w:rsidR="0009287D">
        <w:rPr>
          <w:sz w:val="24"/>
          <w:szCs w:val="24"/>
        </w:rPr>
        <w:tab/>
      </w:r>
      <w:r>
        <w:rPr>
          <w:sz w:val="24"/>
          <w:szCs w:val="24"/>
        </w:rPr>
        <w:t>behind the CV in T</w:t>
      </w:r>
      <w:r w:rsidRPr="00E73C86">
        <w:rPr>
          <w:sz w:val="24"/>
          <w:szCs w:val="24"/>
        </w:rPr>
        <w:t>ab 2?</w:t>
      </w:r>
      <w:r>
        <w:rPr>
          <w:sz w:val="24"/>
          <w:szCs w:val="24"/>
        </w:rPr>
        <w:t xml:space="preserve"> Is it limited </w:t>
      </w:r>
      <w:r w:rsidRPr="00E73C86">
        <w:rPr>
          <w:sz w:val="24"/>
          <w:szCs w:val="24"/>
        </w:rPr>
        <w:t>to 3 pages?</w:t>
      </w:r>
      <w:r w:rsidR="0009287D">
        <w:rPr>
          <w:sz w:val="24"/>
          <w:szCs w:val="24"/>
        </w:rPr>
        <w:t xml:space="preserve"> </w:t>
      </w:r>
    </w:p>
    <w:p w:rsidR="00F57A3D" w:rsidRPr="00E73C86" w:rsidRDefault="00F57A3D" w:rsidP="00F57A3D">
      <w:pPr>
        <w:spacing w:after="0" w:line="240" w:lineRule="auto"/>
        <w:rPr>
          <w:sz w:val="24"/>
          <w:szCs w:val="24"/>
        </w:rPr>
      </w:pPr>
    </w:p>
    <w:p w:rsidR="00F57A3D" w:rsidRDefault="00F57A3D" w:rsidP="00F57A3D">
      <w:pPr>
        <w:spacing w:after="0" w:line="240" w:lineRule="auto"/>
        <w:rPr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sz w:val="24"/>
          <w:szCs w:val="24"/>
        </w:rPr>
        <w:tab/>
      </w:r>
      <w:proofErr w:type="gramStart"/>
      <w:r w:rsidRPr="00E73C86">
        <w:rPr>
          <w:sz w:val="24"/>
          <w:szCs w:val="24"/>
        </w:rPr>
        <w:t>Is</w:t>
      </w:r>
      <w:proofErr w:type="gramEnd"/>
      <w:r w:rsidRPr="00E73C86">
        <w:rPr>
          <w:sz w:val="24"/>
          <w:szCs w:val="24"/>
        </w:rPr>
        <w:t xml:space="preserve"> the research statement (option</w:t>
      </w:r>
      <w:r w:rsidR="00271E02">
        <w:rPr>
          <w:sz w:val="24"/>
          <w:szCs w:val="24"/>
        </w:rPr>
        <w:t>al</w:t>
      </w:r>
      <w:r w:rsidRPr="00E73C86">
        <w:rPr>
          <w:sz w:val="24"/>
          <w:szCs w:val="24"/>
        </w:rPr>
        <w:t xml:space="preserve"> in all cases</w:t>
      </w:r>
      <w:r w:rsidR="0009287D">
        <w:rPr>
          <w:sz w:val="24"/>
          <w:szCs w:val="24"/>
        </w:rPr>
        <w:t xml:space="preserve">, unless your own department guidelines </w:t>
      </w:r>
      <w:r w:rsidR="0009287D">
        <w:rPr>
          <w:sz w:val="24"/>
          <w:szCs w:val="24"/>
        </w:rPr>
        <w:tab/>
        <w:t>require it</w:t>
      </w:r>
      <w:r w:rsidRPr="00E73C8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included and positioned </w:t>
      </w:r>
      <w:r w:rsidRPr="00E73C86">
        <w:rPr>
          <w:sz w:val="24"/>
          <w:szCs w:val="24"/>
        </w:rPr>
        <w:t xml:space="preserve">behind the CV in </w:t>
      </w:r>
      <w:r>
        <w:rPr>
          <w:sz w:val="24"/>
          <w:szCs w:val="24"/>
        </w:rPr>
        <w:t>T</w:t>
      </w:r>
      <w:r w:rsidRPr="00E73C86">
        <w:rPr>
          <w:sz w:val="24"/>
          <w:szCs w:val="24"/>
        </w:rPr>
        <w:t>ab 2? Is it limited to 3 pages?</w:t>
      </w:r>
    </w:p>
    <w:p w:rsidR="00DC50AA" w:rsidRDefault="00DC50AA" w:rsidP="00DC50AA">
      <w:pPr>
        <w:spacing w:after="0" w:line="240" w:lineRule="auto"/>
        <w:rPr>
          <w:rFonts w:ascii="Berlin Sans FB" w:hAnsi="Berlin Sans FB"/>
          <w:b/>
          <w:sz w:val="18"/>
          <w:szCs w:val="18"/>
        </w:rPr>
      </w:pPr>
    </w:p>
    <w:p w:rsidR="00DC50AA" w:rsidRPr="0009287D" w:rsidRDefault="00DC50AA" w:rsidP="00DC50AA">
      <w:pPr>
        <w:spacing w:after="0" w:line="240" w:lineRule="auto"/>
        <w:rPr>
          <w:sz w:val="18"/>
          <w:szCs w:val="18"/>
        </w:rPr>
      </w:pPr>
      <w:r w:rsidRPr="0009287D">
        <w:rPr>
          <w:rFonts w:ascii="Berlin Sans FB" w:hAnsi="Berlin Sans FB"/>
          <w:b/>
          <w:sz w:val="18"/>
          <w:szCs w:val="18"/>
        </w:rPr>
        <w:t>√</w:t>
      </w:r>
      <w:r w:rsidRPr="0009287D">
        <w:rPr>
          <w:sz w:val="18"/>
          <w:szCs w:val="18"/>
          <w:u w:val="single"/>
        </w:rPr>
        <w:t>CHE</w:t>
      </w:r>
      <w:bookmarkStart w:id="0" w:name="_GoBack"/>
      <w:bookmarkEnd w:id="0"/>
      <w:r w:rsidRPr="0009287D">
        <w:rPr>
          <w:sz w:val="18"/>
          <w:szCs w:val="18"/>
          <w:u w:val="single"/>
        </w:rPr>
        <w:t>CKLIST for submitting cases of reappointment, tenure, and promotion</w:t>
      </w:r>
    </w:p>
    <w:p w:rsidR="00DC50AA" w:rsidRPr="0009287D" w:rsidRDefault="00DC50AA" w:rsidP="00DC50A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April 25, 2013</w:t>
      </w:r>
    </w:p>
    <w:p w:rsidR="00DC50AA" w:rsidRDefault="00DC50AA" w:rsidP="00DC50A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sz w:val="20"/>
          <w:szCs w:val="20"/>
        </w:rPr>
        <w:t>p.2</w:t>
      </w:r>
    </w:p>
    <w:p w:rsidR="00DC50AA" w:rsidRPr="00E73C86" w:rsidRDefault="00DC50AA" w:rsidP="0012062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9287D" w:rsidRPr="00DB6B21" w:rsidRDefault="0009287D" w:rsidP="000928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□</w:t>
      </w:r>
      <w:r>
        <w:rPr>
          <w:rFonts w:eastAsia="Times New Roman" w:cstheme="minorHAnsi"/>
          <w:sz w:val="24"/>
          <w:szCs w:val="24"/>
        </w:rPr>
        <w:tab/>
      </w:r>
      <w:proofErr w:type="gramStart"/>
      <w:r w:rsidRPr="00DB6B21">
        <w:rPr>
          <w:rFonts w:eastAsia="Times New Roman" w:cstheme="minorHAnsi"/>
          <w:sz w:val="24"/>
          <w:szCs w:val="24"/>
        </w:rPr>
        <w:t>For</w:t>
      </w:r>
      <w:proofErr w:type="gramEnd"/>
      <w:r w:rsidRPr="00DB6B21">
        <w:rPr>
          <w:rFonts w:eastAsia="Times New Roman" w:cstheme="minorHAnsi"/>
          <w:sz w:val="24"/>
          <w:szCs w:val="24"/>
        </w:rPr>
        <w:t xml:space="preserve"> the selection of non-blind reviewers, does the case show that their selection </w:t>
      </w:r>
      <w:r>
        <w:rPr>
          <w:rFonts w:eastAsia="Times New Roman" w:cstheme="minorHAnsi"/>
          <w:sz w:val="24"/>
          <w:szCs w:val="24"/>
        </w:rPr>
        <w:tab/>
      </w:r>
      <w:r w:rsidRPr="00DB6B21">
        <w:rPr>
          <w:rFonts w:eastAsia="Times New Roman" w:cstheme="minorHAnsi"/>
          <w:sz w:val="24"/>
          <w:szCs w:val="24"/>
        </w:rPr>
        <w:t xml:space="preserve">corresponds to </w:t>
      </w:r>
      <w:r>
        <w:rPr>
          <w:rFonts w:eastAsia="Times New Roman" w:cstheme="minorHAnsi"/>
          <w:sz w:val="24"/>
          <w:szCs w:val="24"/>
        </w:rPr>
        <w:t xml:space="preserve">Section 6.5 of the </w:t>
      </w:r>
      <w:r w:rsidRPr="0009287D">
        <w:rPr>
          <w:rFonts w:eastAsia="Times New Roman" w:cstheme="minorHAnsi"/>
          <w:sz w:val="24"/>
          <w:szCs w:val="24"/>
          <w:u w:val="single"/>
        </w:rPr>
        <w:t>COP Guidelines for the Preparation of Cases</w:t>
      </w:r>
      <w:r>
        <w:rPr>
          <w:rFonts w:eastAsia="Times New Roman" w:cstheme="minorHAnsi"/>
          <w:sz w:val="24"/>
          <w:szCs w:val="24"/>
        </w:rPr>
        <w:t>?</w:t>
      </w:r>
    </w:p>
    <w:p w:rsidR="00F22CE8" w:rsidRDefault="00F22CE8" w:rsidP="00DB6B2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B21" w:rsidRDefault="00DB6B21" w:rsidP="00DB6B2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□</w:t>
      </w:r>
      <w:r>
        <w:rPr>
          <w:rFonts w:eastAsia="Times New Roman" w:cstheme="minorHAnsi"/>
          <w:sz w:val="24"/>
          <w:szCs w:val="24"/>
        </w:rPr>
        <w:tab/>
      </w:r>
      <w:proofErr w:type="gramStart"/>
      <w:r w:rsidRPr="00DB6B21">
        <w:rPr>
          <w:rFonts w:eastAsia="Times New Roman" w:cstheme="minorHAnsi"/>
          <w:sz w:val="24"/>
          <w:szCs w:val="24"/>
        </w:rPr>
        <w:t>For</w:t>
      </w:r>
      <w:proofErr w:type="gramEnd"/>
      <w:r w:rsidRPr="00DB6B21">
        <w:rPr>
          <w:rFonts w:eastAsia="Times New Roman" w:cstheme="minorHAnsi"/>
          <w:sz w:val="24"/>
          <w:szCs w:val="24"/>
        </w:rPr>
        <w:t xml:space="preserve"> the selection of blind reviewers, does the case specify which of the steps outlined in </w:t>
      </w:r>
      <w:r>
        <w:rPr>
          <w:rFonts w:eastAsia="Times New Roman" w:cstheme="minorHAnsi"/>
          <w:sz w:val="24"/>
          <w:szCs w:val="24"/>
        </w:rPr>
        <w:tab/>
      </w:r>
    </w:p>
    <w:p w:rsidR="00DB6B21" w:rsidRPr="00DB6B21" w:rsidRDefault="00DB6B21" w:rsidP="00DB6B2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8140ED">
        <w:rPr>
          <w:rFonts w:eastAsia="Times New Roman" w:cstheme="minorHAnsi"/>
          <w:sz w:val="24"/>
          <w:szCs w:val="24"/>
        </w:rPr>
        <w:t>Section 6.6.1 – 6.6.8</w:t>
      </w:r>
      <w:r w:rsidR="00271E02">
        <w:rPr>
          <w:rFonts w:eastAsia="Times New Roman" w:cstheme="minorHAnsi"/>
          <w:sz w:val="24"/>
          <w:szCs w:val="24"/>
        </w:rPr>
        <w:t xml:space="preserve"> were followed?</w:t>
      </w:r>
    </w:p>
    <w:p w:rsidR="00DD24C6" w:rsidRDefault="00DD24C6" w:rsidP="00120629">
      <w:pPr>
        <w:spacing w:after="0" w:line="240" w:lineRule="auto"/>
        <w:rPr>
          <w:sz w:val="24"/>
          <w:szCs w:val="24"/>
        </w:rPr>
      </w:pPr>
    </w:p>
    <w:p w:rsidR="00DD24C6" w:rsidRDefault="00DD24C6" w:rsidP="00DD24C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57A3D">
        <w:rPr>
          <w:rFonts w:eastAsia="Times New Roman" w:cstheme="minorHAnsi"/>
          <w:sz w:val="24"/>
          <w:szCs w:val="24"/>
        </w:rPr>
        <w:t>Does</w:t>
      </w:r>
      <w:proofErr w:type="gramEnd"/>
      <w:r w:rsidRPr="00F57A3D">
        <w:rPr>
          <w:rFonts w:eastAsia="Times New Roman" w:cstheme="minorHAnsi"/>
          <w:sz w:val="24"/>
          <w:szCs w:val="24"/>
        </w:rPr>
        <w:t xml:space="preserve"> each letter </w:t>
      </w:r>
      <w:r w:rsidR="0009287D">
        <w:rPr>
          <w:rFonts w:eastAsia="Times New Roman" w:cstheme="minorHAnsi"/>
          <w:sz w:val="24"/>
          <w:szCs w:val="24"/>
        </w:rPr>
        <w:t>to the blind and non-blind reviewers</w:t>
      </w:r>
      <w:r w:rsidRPr="00F57A3D">
        <w:rPr>
          <w:rFonts w:eastAsia="Times New Roman" w:cstheme="minorHAnsi"/>
          <w:sz w:val="24"/>
          <w:szCs w:val="24"/>
        </w:rPr>
        <w:t xml:space="preserve"> contain a request that the </w:t>
      </w:r>
      <w:r w:rsidR="0009287D">
        <w:rPr>
          <w:rFonts w:eastAsia="Times New Roman" w:cstheme="minorHAnsi"/>
          <w:sz w:val="24"/>
          <w:szCs w:val="24"/>
        </w:rPr>
        <w:tab/>
      </w:r>
      <w:r w:rsidRPr="00F57A3D">
        <w:rPr>
          <w:rFonts w:eastAsia="Times New Roman" w:cstheme="minorHAnsi"/>
          <w:sz w:val="24"/>
          <w:szCs w:val="24"/>
        </w:rPr>
        <w:t>reviewer indicate if and how s/he knows the candidate?</w:t>
      </w:r>
      <w:r w:rsidR="00271E02">
        <w:rPr>
          <w:rFonts w:eastAsia="Times New Roman" w:cstheme="minorHAnsi"/>
          <w:sz w:val="24"/>
          <w:szCs w:val="24"/>
        </w:rPr>
        <w:t xml:space="preserve"> If not, the case preparer must </w:t>
      </w:r>
      <w:r w:rsidR="0009287D">
        <w:rPr>
          <w:rFonts w:eastAsia="Times New Roman" w:cstheme="minorHAnsi"/>
          <w:sz w:val="24"/>
          <w:szCs w:val="24"/>
        </w:rPr>
        <w:tab/>
      </w:r>
      <w:r w:rsidR="00271E02">
        <w:rPr>
          <w:rFonts w:eastAsia="Times New Roman" w:cstheme="minorHAnsi"/>
          <w:sz w:val="24"/>
          <w:szCs w:val="24"/>
        </w:rPr>
        <w:t xml:space="preserve">follow up with the reviewer and include the reviewer’s response to that question in the </w:t>
      </w:r>
      <w:r w:rsidR="0009287D">
        <w:rPr>
          <w:rFonts w:eastAsia="Times New Roman" w:cstheme="minorHAnsi"/>
          <w:sz w:val="24"/>
          <w:szCs w:val="24"/>
        </w:rPr>
        <w:tab/>
      </w:r>
      <w:r w:rsidR="00271E02">
        <w:rPr>
          <w:rFonts w:eastAsia="Times New Roman" w:cstheme="minorHAnsi"/>
          <w:sz w:val="24"/>
          <w:szCs w:val="24"/>
        </w:rPr>
        <w:t>case.</w:t>
      </w:r>
      <w:r w:rsidRPr="00F57A3D">
        <w:rPr>
          <w:rFonts w:eastAsia="Times New Roman" w:cstheme="minorHAnsi"/>
          <w:sz w:val="24"/>
          <w:szCs w:val="24"/>
        </w:rPr>
        <w:t xml:space="preserve"> </w:t>
      </w:r>
    </w:p>
    <w:p w:rsidR="0009287D" w:rsidRDefault="0009287D" w:rsidP="00F57A3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57A3D" w:rsidRPr="00A94C72" w:rsidRDefault="00F57A3D" w:rsidP="00F57A3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□</w:t>
      </w:r>
      <w:r>
        <w:rPr>
          <w:rFonts w:eastAsia="Times New Roman" w:cstheme="minorHAnsi"/>
          <w:sz w:val="24"/>
          <w:szCs w:val="24"/>
        </w:rPr>
        <w:tab/>
      </w:r>
      <w:proofErr w:type="gramStart"/>
      <w:r w:rsidR="0078410F">
        <w:rPr>
          <w:rFonts w:eastAsia="Times New Roman" w:cstheme="minorHAnsi"/>
          <w:sz w:val="24"/>
          <w:szCs w:val="24"/>
        </w:rPr>
        <w:t>Typically</w:t>
      </w:r>
      <w:proofErr w:type="gramEnd"/>
      <w:r w:rsidR="0078410F">
        <w:rPr>
          <w:rFonts w:eastAsia="Times New Roman" w:cstheme="minorHAnsi"/>
          <w:sz w:val="24"/>
          <w:szCs w:val="24"/>
        </w:rPr>
        <w:t xml:space="preserve"> “experts”</w:t>
      </w:r>
      <w:r w:rsidRPr="00A94C72">
        <w:rPr>
          <w:rFonts w:eastAsia="Times New Roman" w:cstheme="minorHAnsi"/>
          <w:sz w:val="24"/>
          <w:szCs w:val="24"/>
        </w:rPr>
        <w:t xml:space="preserve"> will be of senior rank (Full Professor) or of other equivalent </w:t>
      </w:r>
    </w:p>
    <w:p w:rsidR="009E7B28" w:rsidRPr="000B1D5C" w:rsidRDefault="00F57A3D" w:rsidP="000B1D5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standing</w:t>
      </w:r>
      <w:proofErr w:type="gramEnd"/>
      <w:r>
        <w:rPr>
          <w:rFonts w:eastAsia="Times New Roman" w:cstheme="minorHAnsi"/>
          <w:sz w:val="24"/>
          <w:szCs w:val="24"/>
        </w:rPr>
        <w:t>.</w:t>
      </w:r>
      <w:r w:rsidRPr="00A94C7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Is this </w:t>
      </w:r>
      <w:r w:rsidR="0009287D">
        <w:rPr>
          <w:rFonts w:eastAsia="Times New Roman" w:cstheme="minorHAnsi"/>
          <w:sz w:val="24"/>
          <w:szCs w:val="24"/>
        </w:rPr>
        <w:t xml:space="preserve">criterion </w:t>
      </w:r>
      <w:r>
        <w:rPr>
          <w:rFonts w:eastAsia="Times New Roman" w:cstheme="minorHAnsi"/>
          <w:sz w:val="24"/>
          <w:szCs w:val="24"/>
        </w:rPr>
        <w:t xml:space="preserve">met for the reviewers </w:t>
      </w:r>
      <w:r w:rsidRPr="00A94C72">
        <w:rPr>
          <w:rFonts w:eastAsia="Times New Roman" w:cstheme="minorHAnsi"/>
          <w:sz w:val="24"/>
          <w:szCs w:val="24"/>
        </w:rPr>
        <w:t>in this case</w:t>
      </w:r>
      <w:r w:rsidR="00271E02">
        <w:rPr>
          <w:rFonts w:eastAsia="Times New Roman" w:cstheme="minorHAnsi"/>
          <w:sz w:val="24"/>
          <w:szCs w:val="24"/>
        </w:rPr>
        <w:t xml:space="preserve"> to the extent possible</w:t>
      </w:r>
      <w:r w:rsidRPr="00A94C72">
        <w:rPr>
          <w:rFonts w:eastAsia="Times New Roman" w:cstheme="minorHAnsi"/>
          <w:sz w:val="24"/>
          <w:szCs w:val="24"/>
        </w:rPr>
        <w:t>?</w:t>
      </w:r>
    </w:p>
    <w:p w:rsidR="005944FF" w:rsidRDefault="005944FF" w:rsidP="00120629">
      <w:pPr>
        <w:spacing w:after="0" w:line="240" w:lineRule="auto"/>
        <w:rPr>
          <w:sz w:val="24"/>
          <w:szCs w:val="24"/>
        </w:rPr>
      </w:pPr>
    </w:p>
    <w:p w:rsidR="00A94C72" w:rsidRPr="00A94C72" w:rsidRDefault="00A94C72" w:rsidP="00A94C7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94C72">
        <w:rPr>
          <w:rFonts w:eastAsia="Times New Roman" w:cstheme="minorHAnsi"/>
          <w:sz w:val="24"/>
          <w:szCs w:val="24"/>
        </w:rPr>
        <w:t>One</w:t>
      </w:r>
      <w:proofErr w:type="gramEnd"/>
      <w:r w:rsidRPr="00A94C72">
        <w:rPr>
          <w:rFonts w:eastAsia="Times New Roman" w:cstheme="minorHAnsi"/>
          <w:sz w:val="24"/>
          <w:szCs w:val="24"/>
        </w:rPr>
        <w:t xml:space="preserve"> reviewer who previously wrote to Clark University on behalf of a given candidate</w:t>
      </w:r>
    </w:p>
    <w:p w:rsidR="00A94C72" w:rsidRPr="00A94C72" w:rsidRDefault="00A94C72" w:rsidP="00A94C7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proofErr w:type="gramStart"/>
      <w:r w:rsidRPr="00A94C72">
        <w:rPr>
          <w:rFonts w:eastAsia="Times New Roman" w:cstheme="minorHAnsi"/>
          <w:sz w:val="24"/>
          <w:szCs w:val="24"/>
        </w:rPr>
        <w:t>may</w:t>
      </w:r>
      <w:proofErr w:type="gramEnd"/>
      <w:r w:rsidRPr="00A94C72">
        <w:rPr>
          <w:rFonts w:eastAsia="Times New Roman" w:cstheme="minorHAnsi"/>
          <w:sz w:val="24"/>
          <w:szCs w:val="24"/>
        </w:rPr>
        <w:t xml:space="preserve"> be </w:t>
      </w:r>
      <w:proofErr w:type="spellStart"/>
      <w:r w:rsidRPr="00A94C72">
        <w:rPr>
          <w:rFonts w:eastAsia="Times New Roman" w:cstheme="minorHAnsi"/>
          <w:sz w:val="24"/>
          <w:szCs w:val="24"/>
        </w:rPr>
        <w:t>resolicited</w:t>
      </w:r>
      <w:proofErr w:type="spellEnd"/>
      <w:r w:rsidR="008140ED">
        <w:rPr>
          <w:rFonts w:eastAsia="Times New Roman" w:cstheme="minorHAnsi"/>
          <w:sz w:val="24"/>
          <w:szCs w:val="24"/>
        </w:rPr>
        <w:t xml:space="preserve"> for that same candidate</w:t>
      </w:r>
      <w:r>
        <w:rPr>
          <w:rFonts w:eastAsia="Times New Roman" w:cstheme="minorHAnsi"/>
          <w:sz w:val="24"/>
          <w:szCs w:val="24"/>
        </w:rPr>
        <w:t>.</w:t>
      </w:r>
      <w:r w:rsidRPr="00A94C72">
        <w:rPr>
          <w:rFonts w:eastAsia="Times New Roman" w:cstheme="minorHAnsi"/>
          <w:sz w:val="24"/>
          <w:szCs w:val="24"/>
        </w:rPr>
        <w:t xml:space="preserve"> If more than one reviewer is to be </w:t>
      </w:r>
      <w:proofErr w:type="spellStart"/>
      <w:r w:rsidRPr="00A94C72">
        <w:rPr>
          <w:rFonts w:eastAsia="Times New Roman" w:cstheme="minorHAnsi"/>
          <w:sz w:val="24"/>
          <w:szCs w:val="24"/>
        </w:rPr>
        <w:t>resolicited</w:t>
      </w:r>
      <w:proofErr w:type="spellEnd"/>
      <w:r w:rsidRPr="00A94C72">
        <w:rPr>
          <w:rFonts w:eastAsia="Times New Roman" w:cstheme="minorHAnsi"/>
          <w:sz w:val="24"/>
          <w:szCs w:val="24"/>
        </w:rPr>
        <w:t>, COP should</w:t>
      </w:r>
      <w:r w:rsidR="008140ED">
        <w:rPr>
          <w:rFonts w:eastAsia="Times New Roman" w:cstheme="minorHAnsi"/>
          <w:sz w:val="24"/>
          <w:szCs w:val="24"/>
        </w:rPr>
        <w:t xml:space="preserve"> </w:t>
      </w:r>
      <w:r w:rsidRPr="00A94C72">
        <w:rPr>
          <w:rFonts w:eastAsia="Times New Roman" w:cstheme="minorHAnsi"/>
          <w:sz w:val="24"/>
          <w:szCs w:val="24"/>
        </w:rPr>
        <w:t xml:space="preserve">be consulted. Does the case write-up confirm that such </w:t>
      </w:r>
      <w:r>
        <w:rPr>
          <w:rFonts w:eastAsia="Times New Roman" w:cstheme="minorHAnsi"/>
          <w:sz w:val="24"/>
          <w:szCs w:val="24"/>
        </w:rPr>
        <w:t xml:space="preserve">a </w:t>
      </w:r>
      <w:r w:rsidRPr="00A94C72">
        <w:rPr>
          <w:rFonts w:eastAsia="Times New Roman" w:cstheme="minorHAnsi"/>
          <w:sz w:val="24"/>
          <w:szCs w:val="24"/>
        </w:rPr>
        <w:t>consultation took place?</w:t>
      </w:r>
    </w:p>
    <w:p w:rsidR="00A94C72" w:rsidRDefault="00A94C72" w:rsidP="00120629">
      <w:pPr>
        <w:spacing w:after="0" w:line="240" w:lineRule="auto"/>
        <w:rPr>
          <w:rFonts w:cstheme="minorHAnsi"/>
          <w:sz w:val="24"/>
          <w:szCs w:val="24"/>
        </w:rPr>
      </w:pPr>
    </w:p>
    <w:p w:rsidR="00A94C72" w:rsidRPr="00A94C72" w:rsidRDefault="00A94C72" w:rsidP="00A94C7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4C72">
        <w:rPr>
          <w:rFonts w:eastAsia="Times New Roman" w:cstheme="minorHAnsi"/>
          <w:sz w:val="24"/>
          <w:szCs w:val="24"/>
        </w:rPr>
        <w:t xml:space="preserve">Does the letter to a reviewer who is </w:t>
      </w:r>
      <w:proofErr w:type="spellStart"/>
      <w:r w:rsidRPr="00A94C72">
        <w:rPr>
          <w:rFonts w:eastAsia="Times New Roman" w:cstheme="minorHAnsi"/>
          <w:sz w:val="24"/>
          <w:szCs w:val="24"/>
        </w:rPr>
        <w:t>resolicit</w:t>
      </w:r>
      <w:r>
        <w:rPr>
          <w:rFonts w:eastAsia="Times New Roman" w:cstheme="minorHAnsi"/>
          <w:sz w:val="24"/>
          <w:szCs w:val="24"/>
        </w:rPr>
        <w:t>ed</w:t>
      </w:r>
      <w:proofErr w:type="spellEnd"/>
      <w:r>
        <w:rPr>
          <w:rFonts w:eastAsia="Times New Roman" w:cstheme="minorHAnsi"/>
          <w:sz w:val="24"/>
          <w:szCs w:val="24"/>
        </w:rPr>
        <w:t xml:space="preserve"> include a request that s/he </w:t>
      </w:r>
      <w:r w:rsidRPr="00A94C72">
        <w:rPr>
          <w:rFonts w:eastAsia="Times New Roman" w:cstheme="minorHAnsi"/>
          <w:sz w:val="24"/>
          <w:szCs w:val="24"/>
        </w:rPr>
        <w:t xml:space="preserve">report on </w:t>
      </w:r>
    </w:p>
    <w:p w:rsidR="00A94C72" w:rsidRPr="00A94C72" w:rsidRDefault="00A94C72" w:rsidP="00A94C7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94C72">
        <w:rPr>
          <w:rFonts w:eastAsia="Times New Roman" w:cstheme="minorHAnsi"/>
          <w:sz w:val="24"/>
          <w:szCs w:val="24"/>
        </w:rPr>
        <w:t xml:space="preserve">  </w:t>
      </w:r>
      <w:r w:rsidRPr="00A94C72">
        <w:rPr>
          <w:rFonts w:eastAsia="Times New Roman" w:cstheme="minorHAnsi"/>
          <w:sz w:val="24"/>
          <w:szCs w:val="24"/>
        </w:rPr>
        <w:tab/>
      </w:r>
      <w:proofErr w:type="gramStart"/>
      <w:r w:rsidRPr="00A94C72">
        <w:rPr>
          <w:rFonts w:eastAsia="Times New Roman" w:cstheme="minorHAnsi"/>
          <w:sz w:val="24"/>
          <w:szCs w:val="24"/>
        </w:rPr>
        <w:t>changes</w:t>
      </w:r>
      <w:proofErr w:type="gramEnd"/>
      <w:r w:rsidRPr="00A94C72">
        <w:rPr>
          <w:rFonts w:eastAsia="Times New Roman" w:cstheme="minorHAnsi"/>
          <w:sz w:val="24"/>
          <w:szCs w:val="24"/>
        </w:rPr>
        <w:t xml:space="preserve"> in the candidate’s work fro</w:t>
      </w:r>
      <w:r>
        <w:rPr>
          <w:rFonts w:eastAsia="Times New Roman" w:cstheme="minorHAnsi"/>
          <w:sz w:val="24"/>
          <w:szCs w:val="24"/>
        </w:rPr>
        <w:t>m the previous review</w:t>
      </w:r>
      <w:r w:rsidRPr="00A94C72">
        <w:rPr>
          <w:rFonts w:eastAsia="Times New Roman" w:cstheme="minorHAnsi"/>
          <w:sz w:val="24"/>
          <w:szCs w:val="24"/>
        </w:rPr>
        <w:t>?</w:t>
      </w:r>
    </w:p>
    <w:p w:rsidR="0009502E" w:rsidRPr="00E73C86" w:rsidRDefault="0009502E" w:rsidP="00120629">
      <w:pPr>
        <w:spacing w:after="0" w:line="240" w:lineRule="auto"/>
        <w:rPr>
          <w:sz w:val="24"/>
          <w:szCs w:val="24"/>
        </w:rPr>
      </w:pPr>
    </w:p>
    <w:p w:rsidR="0009502E" w:rsidRPr="00E73C86" w:rsidRDefault="008F5069" w:rsidP="00120629">
      <w:pPr>
        <w:spacing w:after="0" w:line="240" w:lineRule="auto"/>
        <w:rPr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sz w:val="24"/>
          <w:szCs w:val="24"/>
        </w:rPr>
        <w:tab/>
      </w:r>
      <w:r w:rsidR="0009502E" w:rsidRPr="00E73C86">
        <w:rPr>
          <w:sz w:val="24"/>
          <w:szCs w:val="24"/>
        </w:rPr>
        <w:t xml:space="preserve">Are the </w:t>
      </w:r>
      <w:r w:rsidR="00A51824" w:rsidRPr="00E73C86">
        <w:rPr>
          <w:sz w:val="24"/>
          <w:szCs w:val="24"/>
        </w:rPr>
        <w:t xml:space="preserve">teaching evaluation </w:t>
      </w:r>
      <w:r w:rsidR="0009287D">
        <w:rPr>
          <w:sz w:val="24"/>
          <w:szCs w:val="24"/>
        </w:rPr>
        <w:t xml:space="preserve">summary </w:t>
      </w:r>
      <w:r w:rsidR="0009502E" w:rsidRPr="00E73C86">
        <w:rPr>
          <w:sz w:val="24"/>
          <w:szCs w:val="24"/>
        </w:rPr>
        <w:t>data shee</w:t>
      </w:r>
      <w:r w:rsidR="00A51824" w:rsidRPr="00E73C86">
        <w:rPr>
          <w:sz w:val="24"/>
          <w:szCs w:val="24"/>
        </w:rPr>
        <w:t>ts fo</w:t>
      </w:r>
      <w:r w:rsidR="00E73C86">
        <w:rPr>
          <w:sz w:val="24"/>
          <w:szCs w:val="24"/>
        </w:rPr>
        <w:t xml:space="preserve">r each course taught since the </w:t>
      </w:r>
      <w:r w:rsidR="00A51824" w:rsidRPr="00E73C86">
        <w:rPr>
          <w:sz w:val="24"/>
          <w:szCs w:val="24"/>
        </w:rPr>
        <w:t xml:space="preserve">last </w:t>
      </w:r>
      <w:r w:rsidR="0009287D">
        <w:rPr>
          <w:sz w:val="24"/>
          <w:szCs w:val="24"/>
        </w:rPr>
        <w:tab/>
      </w:r>
      <w:r w:rsidR="00A51824" w:rsidRPr="00E73C86">
        <w:rPr>
          <w:sz w:val="24"/>
          <w:szCs w:val="24"/>
        </w:rPr>
        <w:t>review, included in ever</w:t>
      </w:r>
      <w:r w:rsidR="002C7ADC">
        <w:rPr>
          <w:sz w:val="24"/>
          <w:szCs w:val="24"/>
        </w:rPr>
        <w:t>y notebook</w:t>
      </w:r>
      <w:r w:rsidR="0009502E" w:rsidRPr="00E73C86">
        <w:rPr>
          <w:sz w:val="24"/>
          <w:szCs w:val="24"/>
        </w:rPr>
        <w:t>?</w:t>
      </w:r>
    </w:p>
    <w:p w:rsidR="0009502E" w:rsidRPr="00E73C86" w:rsidRDefault="0009502E" w:rsidP="00120629">
      <w:pPr>
        <w:spacing w:after="0" w:line="240" w:lineRule="auto"/>
        <w:rPr>
          <w:sz w:val="24"/>
          <w:szCs w:val="24"/>
        </w:rPr>
      </w:pPr>
    </w:p>
    <w:p w:rsidR="008F5069" w:rsidRPr="00E73C86" w:rsidRDefault="008F5069" w:rsidP="008F5069">
      <w:pPr>
        <w:spacing w:after="0" w:line="240" w:lineRule="auto"/>
        <w:rPr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sz w:val="24"/>
          <w:szCs w:val="24"/>
        </w:rPr>
        <w:tab/>
      </w:r>
      <w:proofErr w:type="gramStart"/>
      <w:r w:rsidRPr="00E73C86">
        <w:rPr>
          <w:sz w:val="24"/>
          <w:szCs w:val="24"/>
        </w:rPr>
        <w:t>Is</w:t>
      </w:r>
      <w:proofErr w:type="gramEnd"/>
      <w:r w:rsidRPr="00E73C86">
        <w:rPr>
          <w:sz w:val="24"/>
          <w:szCs w:val="24"/>
        </w:rPr>
        <w:t xml:space="preserve"> </w:t>
      </w:r>
      <w:r w:rsidR="0009287D">
        <w:rPr>
          <w:sz w:val="24"/>
          <w:szCs w:val="24"/>
        </w:rPr>
        <w:t>the completed</w:t>
      </w:r>
      <w:r w:rsidRPr="00E73C86">
        <w:rPr>
          <w:sz w:val="24"/>
          <w:szCs w:val="24"/>
        </w:rPr>
        <w:t xml:space="preserve"> </w:t>
      </w:r>
      <w:r w:rsidR="0009287D">
        <w:rPr>
          <w:sz w:val="24"/>
          <w:szCs w:val="24"/>
        </w:rPr>
        <w:t xml:space="preserve">Teaching Summary Template </w:t>
      </w:r>
      <w:r w:rsidR="0009287D" w:rsidRPr="00AC1113">
        <w:rPr>
          <w:color w:val="FF0000"/>
          <w:sz w:val="24"/>
          <w:szCs w:val="24"/>
        </w:rPr>
        <w:t>(Appendix C)</w:t>
      </w:r>
      <w:r w:rsidRPr="00AC1113">
        <w:rPr>
          <w:color w:val="FF0000"/>
          <w:sz w:val="24"/>
          <w:szCs w:val="24"/>
        </w:rPr>
        <w:t xml:space="preserve"> </w:t>
      </w:r>
      <w:r w:rsidR="00AC1113">
        <w:rPr>
          <w:sz w:val="24"/>
          <w:szCs w:val="24"/>
        </w:rPr>
        <w:t>for</w:t>
      </w:r>
      <w:r w:rsidRPr="00E73C86">
        <w:rPr>
          <w:sz w:val="24"/>
          <w:szCs w:val="24"/>
        </w:rPr>
        <w:t xml:space="preserve"> all courses taught during </w:t>
      </w:r>
      <w:r w:rsidR="0009287D">
        <w:rPr>
          <w:sz w:val="24"/>
          <w:szCs w:val="24"/>
        </w:rPr>
        <w:tab/>
      </w:r>
      <w:r w:rsidRPr="00E73C86">
        <w:rPr>
          <w:sz w:val="24"/>
          <w:szCs w:val="24"/>
        </w:rPr>
        <w:t>the review period, included</w:t>
      </w:r>
      <w:r w:rsidR="0009287D">
        <w:rPr>
          <w:sz w:val="24"/>
          <w:szCs w:val="24"/>
        </w:rPr>
        <w:t xml:space="preserve"> in the case</w:t>
      </w:r>
      <w:r w:rsidRPr="00E73C86">
        <w:rPr>
          <w:sz w:val="24"/>
          <w:szCs w:val="24"/>
        </w:rPr>
        <w:t>?</w:t>
      </w:r>
    </w:p>
    <w:p w:rsidR="008F5069" w:rsidRPr="00E73C86" w:rsidRDefault="008F5069" w:rsidP="00120629">
      <w:pPr>
        <w:spacing w:after="0" w:line="240" w:lineRule="auto"/>
        <w:rPr>
          <w:sz w:val="24"/>
          <w:szCs w:val="24"/>
        </w:rPr>
      </w:pPr>
    </w:p>
    <w:p w:rsidR="00E73C86" w:rsidRDefault="008F5069" w:rsidP="00E73C86">
      <w:pPr>
        <w:spacing w:after="0" w:line="240" w:lineRule="auto"/>
        <w:rPr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sz w:val="24"/>
          <w:szCs w:val="24"/>
        </w:rPr>
        <w:tab/>
      </w:r>
      <w:r w:rsidR="0009502E" w:rsidRPr="00E73C86">
        <w:rPr>
          <w:sz w:val="24"/>
          <w:szCs w:val="24"/>
        </w:rPr>
        <w:t xml:space="preserve">Are letters of support from </w:t>
      </w:r>
      <w:r w:rsidR="00271E02">
        <w:rPr>
          <w:sz w:val="24"/>
          <w:szCs w:val="24"/>
        </w:rPr>
        <w:t xml:space="preserve">major </w:t>
      </w:r>
      <w:r w:rsidR="0009502E" w:rsidRPr="00E73C86">
        <w:rPr>
          <w:sz w:val="24"/>
          <w:szCs w:val="24"/>
        </w:rPr>
        <w:t xml:space="preserve">committees on which the candidate serves included in </w:t>
      </w:r>
      <w:r w:rsidR="00271E02">
        <w:rPr>
          <w:sz w:val="24"/>
          <w:szCs w:val="24"/>
        </w:rPr>
        <w:tab/>
      </w:r>
      <w:r w:rsidR="0009502E" w:rsidRPr="00E73C86">
        <w:rPr>
          <w:sz w:val="24"/>
          <w:szCs w:val="24"/>
        </w:rPr>
        <w:t>the case?</w:t>
      </w:r>
    </w:p>
    <w:p w:rsidR="00E73C86" w:rsidRDefault="00E73C86" w:rsidP="00E73C86">
      <w:pPr>
        <w:spacing w:after="0" w:line="240" w:lineRule="auto"/>
        <w:rPr>
          <w:sz w:val="24"/>
          <w:szCs w:val="24"/>
        </w:rPr>
      </w:pPr>
    </w:p>
    <w:p w:rsidR="00E73C86" w:rsidRPr="00E73C86" w:rsidRDefault="008F5069" w:rsidP="00E73C86">
      <w:pPr>
        <w:spacing w:after="0" w:line="240" w:lineRule="auto"/>
        <w:rPr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sz w:val="24"/>
          <w:szCs w:val="24"/>
        </w:rPr>
        <w:tab/>
      </w:r>
      <w:r w:rsidR="0009502E" w:rsidRPr="00E73C86">
        <w:rPr>
          <w:sz w:val="24"/>
          <w:szCs w:val="24"/>
        </w:rPr>
        <w:t>A</w:t>
      </w:r>
      <w:r w:rsidR="00BC4F4D">
        <w:rPr>
          <w:sz w:val="24"/>
          <w:szCs w:val="24"/>
        </w:rPr>
        <w:t>re letters of support from director</w:t>
      </w:r>
      <w:r w:rsidR="0009502E" w:rsidRPr="00E73C86">
        <w:rPr>
          <w:sz w:val="24"/>
          <w:szCs w:val="24"/>
        </w:rPr>
        <w:t xml:space="preserve">s of interdisciplinary programs in which the </w:t>
      </w:r>
      <w:r w:rsidRPr="00E73C86">
        <w:rPr>
          <w:sz w:val="24"/>
          <w:szCs w:val="24"/>
        </w:rPr>
        <w:tab/>
      </w:r>
      <w:r w:rsidR="0009502E" w:rsidRPr="00E73C86">
        <w:rPr>
          <w:sz w:val="24"/>
          <w:szCs w:val="24"/>
        </w:rPr>
        <w:t>candidate is involved, included in the case?</w:t>
      </w:r>
      <w:r w:rsidR="00E73C86" w:rsidRPr="00E73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3C86" w:rsidRPr="00E73C86" w:rsidRDefault="00E73C86" w:rsidP="00120629">
      <w:pPr>
        <w:spacing w:after="0" w:line="240" w:lineRule="auto"/>
        <w:rPr>
          <w:sz w:val="24"/>
          <w:szCs w:val="24"/>
        </w:rPr>
      </w:pPr>
    </w:p>
    <w:p w:rsidR="00E73C86" w:rsidRPr="00E73C86" w:rsidRDefault="00E73C86" w:rsidP="00E73C86">
      <w:pPr>
        <w:spacing w:after="0" w:line="240" w:lineRule="auto"/>
        <w:rPr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sz w:val="24"/>
          <w:szCs w:val="24"/>
        </w:rPr>
        <w:tab/>
      </w:r>
      <w:proofErr w:type="gramStart"/>
      <w:r w:rsidRPr="00E73C86">
        <w:rPr>
          <w:sz w:val="24"/>
          <w:szCs w:val="24"/>
        </w:rPr>
        <w:t>For</w:t>
      </w:r>
      <w:proofErr w:type="gramEnd"/>
      <w:r w:rsidRPr="00E73C86">
        <w:rPr>
          <w:sz w:val="24"/>
          <w:szCs w:val="24"/>
        </w:rPr>
        <w:t xml:space="preserve"> reappointment cases only: Is the first year teaching review included?</w:t>
      </w:r>
    </w:p>
    <w:p w:rsidR="00E73C86" w:rsidRPr="00E73C86" w:rsidRDefault="00E73C86" w:rsidP="00E73C86">
      <w:pPr>
        <w:spacing w:after="0" w:line="240" w:lineRule="auto"/>
        <w:rPr>
          <w:sz w:val="24"/>
          <w:szCs w:val="24"/>
        </w:rPr>
      </w:pPr>
    </w:p>
    <w:p w:rsidR="00E73C86" w:rsidRPr="00E73C86" w:rsidRDefault="00E73C86" w:rsidP="00E73C86">
      <w:pPr>
        <w:spacing w:after="0" w:line="240" w:lineRule="auto"/>
        <w:rPr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sz w:val="24"/>
          <w:szCs w:val="24"/>
        </w:rPr>
        <w:tab/>
      </w:r>
      <w:proofErr w:type="gramStart"/>
      <w:r w:rsidRPr="00E73C86">
        <w:rPr>
          <w:sz w:val="24"/>
          <w:szCs w:val="24"/>
        </w:rPr>
        <w:t>For</w:t>
      </w:r>
      <w:proofErr w:type="gramEnd"/>
      <w:r w:rsidRPr="00E73C86">
        <w:rPr>
          <w:sz w:val="24"/>
          <w:szCs w:val="24"/>
        </w:rPr>
        <w:t xml:space="preserve"> tenure cases only: </w:t>
      </w:r>
      <w:r w:rsidR="0009287D">
        <w:rPr>
          <w:sz w:val="24"/>
          <w:szCs w:val="24"/>
        </w:rPr>
        <w:t xml:space="preserve">If there was a </w:t>
      </w:r>
      <w:r w:rsidRPr="00E73C86">
        <w:rPr>
          <w:sz w:val="24"/>
          <w:szCs w:val="24"/>
        </w:rPr>
        <w:t xml:space="preserve">“flag” from the reappointment </w:t>
      </w:r>
      <w:r w:rsidR="0009287D">
        <w:rPr>
          <w:sz w:val="24"/>
          <w:szCs w:val="24"/>
        </w:rPr>
        <w:t>case, is it included?</w:t>
      </w:r>
    </w:p>
    <w:p w:rsidR="00E73C86" w:rsidRPr="00E73C86" w:rsidRDefault="00E73C86" w:rsidP="00120629">
      <w:pPr>
        <w:spacing w:after="0" w:line="240" w:lineRule="auto"/>
        <w:rPr>
          <w:rFonts w:cstheme="minorHAnsi"/>
          <w:sz w:val="24"/>
          <w:szCs w:val="24"/>
        </w:rPr>
      </w:pPr>
    </w:p>
    <w:p w:rsidR="005944FF" w:rsidRDefault="008F5069" w:rsidP="00120629">
      <w:pPr>
        <w:spacing w:after="0" w:line="240" w:lineRule="auto"/>
        <w:rPr>
          <w:sz w:val="24"/>
          <w:szCs w:val="24"/>
        </w:rPr>
      </w:pPr>
      <w:r w:rsidRPr="00E73C86">
        <w:rPr>
          <w:rFonts w:cstheme="minorHAnsi"/>
          <w:sz w:val="24"/>
          <w:szCs w:val="24"/>
        </w:rPr>
        <w:t>□</w:t>
      </w:r>
      <w:r w:rsidRPr="00E73C86">
        <w:rPr>
          <w:sz w:val="24"/>
          <w:szCs w:val="24"/>
        </w:rPr>
        <w:tab/>
      </w:r>
      <w:proofErr w:type="gramStart"/>
      <w:r w:rsidR="008D4E3B" w:rsidRPr="00E73C86">
        <w:rPr>
          <w:sz w:val="24"/>
          <w:szCs w:val="24"/>
        </w:rPr>
        <w:t>Has</w:t>
      </w:r>
      <w:proofErr w:type="gramEnd"/>
      <w:r w:rsidR="008D4E3B" w:rsidRPr="00E73C86">
        <w:rPr>
          <w:sz w:val="24"/>
          <w:szCs w:val="24"/>
        </w:rPr>
        <w:t xml:space="preserve"> the entire case (including reviewer CVs) been submitted electronically to </w:t>
      </w:r>
    </w:p>
    <w:p w:rsidR="008D4E3B" w:rsidRDefault="005944FF" w:rsidP="00120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D4E3B" w:rsidRPr="00E73C86">
        <w:rPr>
          <w:sz w:val="24"/>
          <w:szCs w:val="24"/>
        </w:rPr>
        <w:t>Deb Brenner</w:t>
      </w:r>
      <w:r>
        <w:rPr>
          <w:sz w:val="24"/>
          <w:szCs w:val="24"/>
        </w:rPr>
        <w:t xml:space="preserve"> (</w:t>
      </w:r>
      <w:hyperlink r:id="rId6" w:history="1">
        <w:r w:rsidR="0009287D" w:rsidRPr="00FA3A99">
          <w:rPr>
            <w:rStyle w:val="Hyperlink"/>
            <w:sz w:val="24"/>
            <w:szCs w:val="24"/>
          </w:rPr>
          <w:t>debbrenner@clarku.edu</w:t>
        </w:r>
      </w:hyperlink>
      <w:r>
        <w:rPr>
          <w:sz w:val="24"/>
          <w:szCs w:val="24"/>
        </w:rPr>
        <w:t>)</w:t>
      </w:r>
      <w:r w:rsidR="008D4E3B" w:rsidRPr="00E73C86">
        <w:rPr>
          <w:sz w:val="24"/>
          <w:szCs w:val="24"/>
        </w:rPr>
        <w:t>?</w:t>
      </w:r>
    </w:p>
    <w:p w:rsidR="0009287D" w:rsidRDefault="0009287D" w:rsidP="00120629">
      <w:pPr>
        <w:spacing w:after="0" w:line="240" w:lineRule="auto"/>
        <w:rPr>
          <w:sz w:val="24"/>
          <w:szCs w:val="24"/>
        </w:rPr>
      </w:pPr>
    </w:p>
    <w:p w:rsidR="0009287D" w:rsidRPr="00E73C86" w:rsidRDefault="0009287D" w:rsidP="00120629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78410F">
        <w:rPr>
          <w:sz w:val="24"/>
          <w:szCs w:val="24"/>
        </w:rPr>
        <w:tab/>
        <w:t>Are the reviewer</w:t>
      </w:r>
      <w:r>
        <w:rPr>
          <w:sz w:val="24"/>
          <w:szCs w:val="24"/>
        </w:rPr>
        <w:t>s</w:t>
      </w:r>
      <w:r w:rsidR="0078410F">
        <w:rPr>
          <w:sz w:val="24"/>
          <w:szCs w:val="24"/>
        </w:rPr>
        <w:t>’</w:t>
      </w:r>
      <w:r>
        <w:rPr>
          <w:sz w:val="24"/>
          <w:szCs w:val="24"/>
        </w:rPr>
        <w:t xml:space="preserve"> CVs included in the original case but not in the other seven binders?</w:t>
      </w:r>
    </w:p>
    <w:p w:rsidR="00DC7278" w:rsidRDefault="00DC7278" w:rsidP="00120629">
      <w:pPr>
        <w:spacing w:after="0" w:line="240" w:lineRule="auto"/>
        <w:rPr>
          <w:sz w:val="28"/>
          <w:szCs w:val="28"/>
        </w:rPr>
      </w:pPr>
    </w:p>
    <w:p w:rsidR="005946C6" w:rsidRPr="005946C6" w:rsidRDefault="000E2726" w:rsidP="00594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###</w:t>
      </w:r>
    </w:p>
    <w:sectPr w:rsidR="005946C6" w:rsidRPr="005946C6" w:rsidSect="00DC50AA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392"/>
    <w:multiLevelType w:val="hybridMultilevel"/>
    <w:tmpl w:val="034E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81F29"/>
    <w:multiLevelType w:val="hybridMultilevel"/>
    <w:tmpl w:val="2148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F7"/>
    <w:rsid w:val="000116F3"/>
    <w:rsid w:val="0009287D"/>
    <w:rsid w:val="0009502E"/>
    <w:rsid w:val="000A6AD0"/>
    <w:rsid w:val="000B1D5C"/>
    <w:rsid w:val="000E2726"/>
    <w:rsid w:val="00120629"/>
    <w:rsid w:val="00161EC4"/>
    <w:rsid w:val="001E2D75"/>
    <w:rsid w:val="0023768F"/>
    <w:rsid w:val="00271E02"/>
    <w:rsid w:val="00283E54"/>
    <w:rsid w:val="002847CC"/>
    <w:rsid w:val="002C7ADC"/>
    <w:rsid w:val="00371765"/>
    <w:rsid w:val="0043742E"/>
    <w:rsid w:val="00444A2A"/>
    <w:rsid w:val="004E2122"/>
    <w:rsid w:val="004F561B"/>
    <w:rsid w:val="00523E06"/>
    <w:rsid w:val="00586160"/>
    <w:rsid w:val="005944FF"/>
    <w:rsid w:val="005946C6"/>
    <w:rsid w:val="005A7745"/>
    <w:rsid w:val="007507F7"/>
    <w:rsid w:val="0078410F"/>
    <w:rsid w:val="008140ED"/>
    <w:rsid w:val="00815125"/>
    <w:rsid w:val="00827088"/>
    <w:rsid w:val="00874556"/>
    <w:rsid w:val="008D4E3B"/>
    <w:rsid w:val="008F5069"/>
    <w:rsid w:val="00940FA7"/>
    <w:rsid w:val="009A462E"/>
    <w:rsid w:val="009E7B28"/>
    <w:rsid w:val="00A51824"/>
    <w:rsid w:val="00A94C72"/>
    <w:rsid w:val="00AC1113"/>
    <w:rsid w:val="00AE042C"/>
    <w:rsid w:val="00B2403B"/>
    <w:rsid w:val="00B872A5"/>
    <w:rsid w:val="00BB5F20"/>
    <w:rsid w:val="00BC4F4D"/>
    <w:rsid w:val="00C72242"/>
    <w:rsid w:val="00CF5FDC"/>
    <w:rsid w:val="00DB6B21"/>
    <w:rsid w:val="00DC50AA"/>
    <w:rsid w:val="00DC7278"/>
    <w:rsid w:val="00DD24C6"/>
    <w:rsid w:val="00E73C86"/>
    <w:rsid w:val="00F22CE8"/>
    <w:rsid w:val="00F57A3D"/>
    <w:rsid w:val="00F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0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0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renner@clar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debbrenner</dc:creator>
  <cp:keywords/>
  <dc:description/>
  <cp:lastModifiedBy>Debra Brenner</cp:lastModifiedBy>
  <cp:revision>47</cp:revision>
  <cp:lastPrinted>2012-05-03T19:23:00Z</cp:lastPrinted>
  <dcterms:created xsi:type="dcterms:W3CDTF">2012-04-20T17:09:00Z</dcterms:created>
  <dcterms:modified xsi:type="dcterms:W3CDTF">2013-04-25T20:05:00Z</dcterms:modified>
</cp:coreProperties>
</file>